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24 102 vom 20. November 2025</w:t>
      </w:r>
    </w:p>
    <w:p>
      <w:r>
        <w:t>VS Kantonsgericht, 2025-11-20, FR</w:t>
      </w:r>
    </w:p>
    <w:p>
      <w:r>
        <w:rPr>
          <w:b/>
        </w:rPr>
        <w:t xml:space="preserve">Quelle: </w:t>
      </w:r>
      <w:r>
        <w:t>https://mcp.opencaselaw.ch/entscheid/vs_gerichte_S1 24 102</w:t>
      </w:r>
    </w:p>
    <w:p>
      <w:r>
        <w:t>FR: VS_GERICHTE S1 24 102 du 20 novembre 2025</w:t>
      </w:r>
    </w:p>
    <w:p>
      <w:r>
        <w:t>IT: VS_GERICHTE S1 24 102 del 20 novembre 2025</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Daté du 31 mai 2024, reçu par l’OAI le 10 juin suivant, confirmé le 18 juin 2024 par le Dr C __________, au bénéfice d’une procuration du recourant en sa faveur, puis adressé par l’OAI au Tribunal de céans le 25 juin 2024, le présent recours à l’encontre de la décision du 29 avril 2024 a été interjeté dans le délai légal de trente jours (art. 60 LPGA), et transmis à la Cour de céans, compétente à raison du lieu et de la matière (art. 56 et 57 LPGA et 69 al. 1 let. a LAI ; art. 81a al. 1 LPJA). Il répond par ailleurs aux autres conditions formelles de recevabilité (art. 61 let. b LPGA), de sorte que la Cour doit entrer en matière.</w:t>
      </w:r>
    </w:p>
    <w:p>
      <w:r>
        <w:rPr>
          <w:b/>
        </w:rPr>
        <w:t>E. 2.1</w:t>
      </w:r>
    </w:p>
    <w:p>
      <w:r>
        <w:t>Le litige porte sur le refus de l’OAI d’octroyer tout droit à des prestations AI (mesures d’ordre professionnel, rente d’invalidité) au recourant.</w:t>
      </w:r>
    </w:p>
    <w:p>
      <w:r>
        <w:t>- 7 -</w:t>
      </w:r>
    </w:p>
    <w:p>
      <w:r>
        <w:rPr>
          <w:b/>
        </w:rPr>
        <w:t>E. 2.2</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 en moyenne durant une année sans interruption notable et, qu’au terme de cette année, il est invalide à 40 % au moins (art. 28 al. 1 let. b et c LAI). Il peut en outre prétendre à une mesure de reclassement s’il est invalide à 20 % environ (ATF 139 V 399 consid. 5.3,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CIM-11 ou le DSM- V (voir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w:t>
      </w:r>
    </w:p>
    <w:p>
      <w:r>
        <w:t>- 8 -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115 V 133 consid. 2, 114 V 310 consid. 3c et 105 V 156 consid. 1 ; arrêt du Tribunal fédéral 8C_761/2014 du 15 octobre 2015 consid. 3.4).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généralement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t>- 9 -</w:t>
      </w:r>
    </w:p>
    <w:p>
      <w:r>
        <w:rPr>
          <w:b/>
        </w:rPr>
        <w:t>E. 2.5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que d'autres spécialistes émettent des opinions contraires objectivement vérifiables – de nature notamment clinique ou diagnostique – aptes à mettre sérieusement en doute la pertinence des déductions de l'expert (ATF 125 V 351 cons. 3b/aa, 118 V 220 consid. 1b et les références ;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w:t>
      </w:r>
    </w:p>
    <w:p>
      <w:r>
        <w:rPr>
          <w:b/>
        </w:rPr>
        <w:t>E. 3.1</w:t>
      </w:r>
    </w:p>
    <w:p>
      <w:r>
        <w:t>Dans le cas d’espèce, l’OAI s’est fondé sur les avis respectifs du Dr D __________ et de la Dresse G __________, tous deux spécialistes FMH en psychiatrie et psychothérapie, pour retenir que le recourant avait recouvré une pleine capacité de travail, d’abord avec une baisse de rendement de 20 % dès le 20 avril 2023, puis avec un plein rendement dès le 20 octobre suivant, dans son activité habituelle de poseur de panneaux solaires. L’assuré conteste quant à lui les conclusions de ces experts sur la base de l’avis de son psychiatre traitant, le Dr C__________, celui-ci estimant que la capacité de travail de son patient serait nulle.</w:t>
      </w:r>
    </w:p>
    <w:p>
      <w:r>
        <w:t>- 10 -</w:t>
      </w:r>
    </w:p>
    <w:p>
      <w:r>
        <w:rPr>
          <w:b/>
        </w:rPr>
        <w:t>E. 3.2</w:t>
      </w:r>
    </w:p>
    <w:p>
      <w:r>
        <w:t>A la lecture de l’expertise du 20 avril 2023 du Dr D __________ et de celle du 17 novembre suivant de la Dresse G __________, force est de constater que celles-ci répondent entièrement aux conditions jurisprudentielles pour leur reconnaître une pleine valeur probante. En particulier, les experts se sont fondés sur l’ensemble des différents avis médicaux relatifs à l’assuré, notamment sur les rapports du Dr C __________, puis ont établi une anamnèse fournie, avant de décrire de manière détaillée les plaintes du recourant et sa journée type. Ils ont ensuite chacun procédé à un examen clinique complet, permettant d’arrêter des diagnostics – similaires, soit un trouble modéré de la personnalité pour le Dr D __________ et des troubles mixtes de la personnalité selon la Dresse G __________ – sur la base de constatations objectives. Enfin, les conclusions des experts – également concordantes (pleine capacité de travail, avec baisse de rendement de 20 %, dès le 20 avril 2023 dans l’activité habituelle pour le Dr D __________ et pleine capacité de travail avec rendement normal dès le 20 octobre suivant dans l’activité habituelle pour la Dresse G __________, étant précisé qu’une baisse de rendement de 20 % était possible antérieurement) – ont été énoncées de manière motivée et cohérente (cf. expertise du Dr D __________, pièce OAI 73, p. 218 ss, et expertise de la Dresse G __________, pièce OAI 78, p. 253 ss). A l’examen des indicateurs appartenant à la catégorie « degré de gravité fonctionnel », formant le socle de base (ATF 141 V 281 consid. 4.3), l’on observe que les experts psychiatres ont analysé les critères de gravité conformément aux réquisits jurisprudentiels. Le Dr D __________ a d’abord dûment motivé le diagnostic incapacitant qu’il a retenu (assuré méfiant et interprétatif, impulsivité importante qui a tendance à s’atténuer, agressivité verbale, fluctuations de l’humeur qui diminuent avec la prise du traitement médicamenteux, comportements parfois explosifs, intéressé susceptible, rancunier, facilement contrarié et sensible à l’irrespect). L’expert a de plus expliqué que l’anamnèse détaillée n’avait retrouvé aucun symptôme d’une affection bipolaire ni d’éléments de phobie sociale, mais principalement des problèmes dans les interactions sociales avec une tendance à se sentir mal jugé qui rentrait plutôt dans le cadre d’une certaine interprétativité et d’une méfiance. Le Dr D __________ a ensuite indiqué que de nombreuses ressources avaient été conservées par le recourant (pas de limitations dans les tâches quotidiennes, capacité à se montrer actif, notamment dans une activité de mécanicien, capacité à porter des jugements ou prendre des décisions, activités spontanées et proactivité, notamment bricolage dans son atelier, capacité à s’affirmer même si l’assuré s’énerve vite, capacité à prendre soin de soi et à se prendre en charge, mobilité et capacité de déplacement), ce qui n’a d’ailleurs aucunement été remis en cause par l’intéressé. S’agissant de la Dresse G __________, elle a également dûment</w:t>
      </w:r>
    </w:p>
    <w:p>
      <w:r>
        <w:t>- 11 - motivé le diagnostic incapacitant qu’elle a retenu (corrélation clinique avec l’expertise effectuée par le Dr D __________ qui concluait à un trouble modéré de la personnalité avec des éléments dyssociaux et émotionnellement labile de type impulsif, personnalité opposante depuis l’adolescence se manifestant par un rapport d’autorité difficile, besoin de liberté, et assuré ne supportant pas les gens, ce qui ne suggérait pas une phobie sociale, mais un trouble de la personnalité). La Dresse G __________ a ensuite expliqué pour quelles raisons elle ne retenait pas non plus le diagnostic de troubles affectifs bipolaires (pas d’hallucinations ni d’idées de persécution, pas de voyages pathologiques, pas d’épisode hypomaniaque ou maniaque documenté, pas de notion d’épisode dépressif sévère ni de changements d’humeur épisodiques ou saisonniers, pas d’argument en faveur d’une personnalité avec un fonctionnement affectif et émotionnel, souvent sous-jacent à un trouble affectif bipolaire). L’experte a enfin souligné que l’assurait présentait de nombreuses ressources, qui s’avèrent identiques à celles relevées par le Dr D __________. Sous l’angle de l’examen de la catégorie « cohérence » (ATF 141 V 281 consid. 4.4), l’on note que le Dr D __________ a estimé que l’activité habituelle de poseur de panneaux solaires était adaptée, les limitations fonctionnelles étant exclusivement en lien avec le trouble de la personnalité (très faible tolérance à la frustration, comportements explosifs, impulsivité et sentiments de dévalorisation compliquant les interactions sociales). Il est relevé à cet égard les ressources importantes ayant été conservées, énumérées ci-dessus, et permettant au recourant de maintenir différentes activités telles que décrites dans le déroulement de sa journée type (sort boire le café dans un établissement public, bricole dans son atelier, s’occupe de vidanges de voitures et du remplacement de certaines pièces, promenades, capacité à se préparer les repas, capacité à employer les transports publics, capacité à entretenir son intérieur et assumer ses tâches administratives). Quant à la Dresse G __________, elle a considéré que la capacité de travail de l’assuré était entière dans n’importe quelle activité, même si des limitations fonctionnelles étaient possiblement en lien avec les traits de personnalité marqués par une intolérance possible à la frustration, d’éventuels comportements agressifs ou explosifs et une certaine impulsivité expliquant que l’intéressé vive de manière isolée. Elle a en outre relevé que les examens biologiques avaient montré un mauvais suivi médicamenteux par l’intéressé, contrairement à ce que le Dr C __________ avait indiqué dans son rapport du 6 septembre 2022. A l’instar du Dr D __________, la Dresse G __________ a néanmoins retenu de nombreuses ressources conservées par l’intéressé, telles qu’énumérées ci-dessus.</w:t>
      </w:r>
    </w:p>
    <w:p>
      <w:r>
        <w:t>- 12 -</w:t>
      </w:r>
    </w:p>
    <w:p>
      <w:r>
        <w:rPr>
          <w:b/>
        </w:rPr>
        <w:t>E. 3.3</w:t>
      </w:r>
    </w:p>
    <w:p>
      <w:r>
        <w:t>Le recourant se prévaut quant à lui de l’avis de son psychiatre traitant, le Dr C __________, spécialiste FMH en psychiatrie et psychothérapie, estimant que son patient présentait, initialement, des troubles affectifs bipolaires ainsi que des phobies sociales rendant sa capacité de travail nulle puis, selon son rapport du 31 mai 2024, un trouble grave de la personnalité dyssociale et une personnalité émotionnellement labile de type impulsif, sans précision de leur incidence sur la capacité de travail de l’assuré. L’avis de ce médecin traitant est toutefois insuffisant pour mettre en doute les conclusions des experts psychiatres. En effet, il a été démontré ci-dessus (cf. supra consid. 3.2) que les expertises psychiatriques – concordantes – du Dr D __________ et de la Dresse G __________ respectaient en tous points les exigences jurisprudentielles et bénéficiaient d’une pleine valeur probante. Or, il ne se justifie de s’écarter d’une expertise que si celle-ci contient des contradictions manifestes ou ignore des éléments essentiels, le simple fait qu’un ou plusieurs avis médicaux divergents ont été produits ne suffisant pas à remettre en cause la valeur probante d’une expertise médicale. Ainsi, l’avis du Dr C __________, dont les diagnostics incapacitants de troubles affectifs bipolaires et de phobies sociales ont été écartés de manière dûment motivée par les experts ne suffit pas à remettre en cause l’avis de ces derniers. La Cour rappelle en outre à cet égard que selon la jurisprudence relative aux rapports émanant des médecins traitants (cf. supra consid. 2.4), ces derniers ont tendance à se prononcer en cas de doute plutôt en faveur de leurs patients et que leurs rapports n'aboutissent généralement pas à une appréciation objective de l'état de santé permettant de trancher la question des prestations d'assurance de façon concluante, de sorte qu’ils ne sauraient à eux seuls prévaloir. Enfin, la Cour constate que le rapport du Dr H__________ n'est d’aucun secours au recourant, dès lors qu’il date de 2014 et ne se prononce par conséquent aucunement sur sa capacité de travail à la date du dépôt de la demande AI et au-delà. Quant à l’aggravation de l’état de santé alléguée par le recourant dans le cadre de sa réplique, il appert qu’elle est postérieure à la décision litigieuse. Or, de jurisprudence constante, le juge des assurances sociales apprécie la légalité des décisions attaquées d'après l'état de fait existant au moment où la décision litigieuse a été rendue, les faits survenus postérieurement et ayant modifié cette situation devant en principe faire l'objet d'une nouvelle décision administrative (ATF 144 V 210 consid. 4.3.1 et 131 V 242 consid.2.1). Partant, si l’aggravation alléguée devait conduire à une incapacité de travail de longue durée – ce que le recourant ne soutient pas dans sa réplique – il lui est possible de déposer une nouvelle demande de prestations AI.</w:t>
      </w:r>
    </w:p>
    <w:p>
      <w:r>
        <w:t>- 13 -</w:t>
      </w:r>
    </w:p>
    <w:p>
      <w:r>
        <w:rPr>
          <w:b/>
        </w:rPr>
        <w:t>E. 3.4</w:t>
      </w:r>
    </w:p>
    <w:p>
      <w:r>
        <w:t>Vu les éléments qui précèdent, il n’existe aucun motif susceptible de mettre en doute la valeur probante des expertises du Dr D __________ et de la Dresse G __________, dont les conclusions concordent. Le dossier est en outre suffisamment complet pour qu’un jugement valable puisse être rendu sur la base de celui-ci, sans qu’il ne soit nécessaire d’ordonner l’administration d’un autre moyen de preuve (appréciation anticipée des moyens de preuve : ATF 145 I 167 consid. 4.1, 144 II 427 consid. 3.1.3 et 141 I 60 consid. 3.3). Dans ces circonstances, l’intimé pouvait à bon droit refuser au recourant tout droit à une rente d’invalidité. L’activité habituelle de l’assuré demeurant exigible, il n’a au surplus pas droit à des mesures de réadaptation.</w:t>
      </w:r>
    </w:p>
    <w:p>
      <w:r>
        <w:rPr>
          <w:b/>
        </w:rPr>
        <w:t>E. 4.1</w:t>
      </w:r>
    </w:p>
    <w:p>
      <w:r>
        <w:t>Les frais, par 500 fr., sont mis à la charge du recourant qui succombe (art. 69 al. 1bis LAI) et compensés avec l’avance effectuée.</w:t>
      </w:r>
    </w:p>
    <w:p>
      <w:r>
        <w:rPr>
          <w:b/>
        </w:rPr>
        <w:t>E. 4.2</w:t>
      </w:r>
    </w:p>
    <w:p>
      <w:r>
        <w:t>Le recourant n’ayant pas eu gain de cause, il n’a pas droit à des dépens (art. 61 let. g LPGA a contrario), ni d’ailleurs l’OAI (art. 91 al. 3 LPJA).</w:t>
      </w:r>
    </w:p>
    <w:p>
      <w:r>
        <w:t>Prononce</w:t>
      </w:r>
    </w:p>
    <w:p>
      <w:r>
        <w:t>1. Le recours est rejeté. 2. Les frais, par 500 francs, sont mis à la charge de X __________. 3. Il n’est pas alloué de dépens. Sion, le 20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